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02D" w:rsidRPr="00EE611E" w:rsidRDefault="00DD602D" w:rsidP="000A2C62">
      <w:pPr>
        <w:jc w:val="center"/>
        <w:rPr>
          <w:rFonts w:ascii="Century Gothic" w:hAnsi="Century Gothic"/>
          <w:b/>
          <w:color w:val="003366"/>
          <w:sz w:val="28"/>
          <w:szCs w:val="28"/>
        </w:rPr>
      </w:pPr>
    </w:p>
    <w:p w:rsidR="000A2C62" w:rsidRPr="00EE611E" w:rsidRDefault="009D5EB1" w:rsidP="000A2C62">
      <w:pPr>
        <w:jc w:val="center"/>
        <w:rPr>
          <w:rFonts w:ascii="Century Gothic" w:hAnsi="Century Gothic"/>
          <w:b/>
          <w:color w:val="003366"/>
          <w:sz w:val="28"/>
          <w:szCs w:val="28"/>
        </w:rPr>
      </w:pPr>
      <w:proofErr w:type="spellStart"/>
      <w:r w:rsidRPr="00EE611E">
        <w:rPr>
          <w:rFonts w:ascii="Century Gothic" w:hAnsi="Century Gothic"/>
          <w:b/>
          <w:color w:val="003366"/>
          <w:sz w:val="28"/>
          <w:szCs w:val="28"/>
        </w:rPr>
        <w:t>Spafid</w:t>
      </w:r>
      <w:proofErr w:type="spellEnd"/>
      <w:r w:rsidR="00052315">
        <w:rPr>
          <w:rFonts w:ascii="Century Gothic" w:hAnsi="Century Gothic"/>
          <w:b/>
          <w:color w:val="003366"/>
          <w:sz w:val="28"/>
          <w:szCs w:val="28"/>
        </w:rPr>
        <w:t xml:space="preserve"> Connect</w:t>
      </w:r>
      <w:r w:rsidR="009A104D">
        <w:rPr>
          <w:rFonts w:ascii="Century Gothic" w:hAnsi="Century Gothic"/>
          <w:b/>
          <w:color w:val="003366"/>
          <w:sz w:val="28"/>
          <w:szCs w:val="28"/>
        </w:rPr>
        <w:t xml:space="preserve"> e CAD IT stipulano un accordo strategico</w:t>
      </w:r>
    </w:p>
    <w:p w:rsidR="000A2C62" w:rsidRPr="00EE611E" w:rsidRDefault="000A2C62" w:rsidP="001953FC">
      <w:pPr>
        <w:rPr>
          <w:rFonts w:ascii="Century Gothic" w:hAnsi="Century Gothic"/>
          <w:color w:val="003366"/>
          <w:sz w:val="20"/>
          <w:szCs w:val="20"/>
        </w:rPr>
      </w:pPr>
    </w:p>
    <w:p w:rsidR="001953FC" w:rsidRPr="00EE611E" w:rsidRDefault="004B3E94" w:rsidP="001953FC">
      <w:pPr>
        <w:rPr>
          <w:rFonts w:ascii="Century Gothic" w:hAnsi="Century Gothic"/>
          <w:color w:val="003366"/>
          <w:sz w:val="20"/>
          <w:szCs w:val="20"/>
        </w:rPr>
      </w:pPr>
      <w:r w:rsidRPr="00EE611E">
        <w:rPr>
          <w:rFonts w:ascii="Century Gothic" w:hAnsi="Century Gothic"/>
          <w:color w:val="003366"/>
          <w:sz w:val="20"/>
          <w:szCs w:val="20"/>
        </w:rPr>
        <w:t xml:space="preserve">Milano, </w:t>
      </w:r>
      <w:r w:rsidR="009D5EB1" w:rsidRPr="00EE611E">
        <w:rPr>
          <w:rFonts w:ascii="Century Gothic" w:hAnsi="Century Gothic"/>
          <w:color w:val="003366"/>
          <w:sz w:val="20"/>
          <w:szCs w:val="20"/>
        </w:rPr>
        <w:t>09</w:t>
      </w:r>
      <w:r w:rsidRPr="00EE611E">
        <w:rPr>
          <w:rFonts w:ascii="Century Gothic" w:hAnsi="Century Gothic"/>
          <w:color w:val="003366"/>
          <w:sz w:val="20"/>
          <w:szCs w:val="20"/>
        </w:rPr>
        <w:t xml:space="preserve"> </w:t>
      </w:r>
      <w:r w:rsidR="009D5EB1" w:rsidRPr="00EE611E">
        <w:rPr>
          <w:rFonts w:ascii="Century Gothic" w:hAnsi="Century Gothic"/>
          <w:color w:val="003366"/>
          <w:sz w:val="20"/>
          <w:szCs w:val="20"/>
        </w:rPr>
        <w:t>febbraio 2016</w:t>
      </w:r>
    </w:p>
    <w:p w:rsidR="00DD602D" w:rsidRPr="00EE611E" w:rsidRDefault="00DD602D" w:rsidP="001953FC">
      <w:pPr>
        <w:rPr>
          <w:rFonts w:ascii="Century Gothic" w:hAnsi="Century Gothic"/>
          <w:color w:val="003366"/>
          <w:sz w:val="20"/>
          <w:szCs w:val="20"/>
        </w:rPr>
      </w:pPr>
    </w:p>
    <w:p w:rsidR="009D5EB1" w:rsidRPr="00EE611E" w:rsidRDefault="009D5EB1" w:rsidP="009D5EB1">
      <w:pPr>
        <w:rPr>
          <w:rFonts w:ascii="Century Gothic" w:hAnsi="Century Gothic"/>
          <w:color w:val="003366"/>
          <w:sz w:val="20"/>
          <w:szCs w:val="20"/>
        </w:rPr>
      </w:pPr>
      <w:proofErr w:type="spellStart"/>
      <w:r w:rsidRPr="00EE611E">
        <w:rPr>
          <w:rFonts w:ascii="Century Gothic" w:hAnsi="Century Gothic"/>
          <w:b/>
          <w:color w:val="003366"/>
          <w:sz w:val="20"/>
          <w:szCs w:val="20"/>
        </w:rPr>
        <w:t>Spafid</w:t>
      </w:r>
      <w:proofErr w:type="spellEnd"/>
      <w:r w:rsidR="009A5426">
        <w:rPr>
          <w:rFonts w:ascii="Century Gothic" w:hAnsi="Century Gothic"/>
          <w:color w:val="003366"/>
          <w:sz w:val="20"/>
          <w:szCs w:val="20"/>
        </w:rPr>
        <w:t xml:space="preserve"> </w:t>
      </w:r>
      <w:r w:rsidR="009A5426" w:rsidRPr="009A5426">
        <w:rPr>
          <w:rFonts w:ascii="Century Gothic" w:hAnsi="Century Gothic"/>
          <w:b/>
          <w:color w:val="003366"/>
          <w:sz w:val="20"/>
          <w:szCs w:val="20"/>
        </w:rPr>
        <w:t>Connect</w:t>
      </w:r>
      <w:r w:rsidRPr="00EE611E">
        <w:rPr>
          <w:rFonts w:ascii="Century Gothic" w:hAnsi="Century Gothic"/>
          <w:color w:val="003366"/>
          <w:sz w:val="20"/>
          <w:szCs w:val="20"/>
        </w:rPr>
        <w:t xml:space="preserve">, </w:t>
      </w:r>
      <w:r w:rsidR="009A5426" w:rsidRPr="00EE611E">
        <w:rPr>
          <w:rFonts w:ascii="Century Gothic" w:hAnsi="Century Gothic"/>
          <w:color w:val="003366"/>
          <w:sz w:val="20"/>
          <w:szCs w:val="20"/>
        </w:rPr>
        <w:t xml:space="preserve">la piattaforma tecnologica di </w:t>
      </w:r>
      <w:proofErr w:type="spellStart"/>
      <w:r w:rsidR="009A5426" w:rsidRPr="009A5426">
        <w:rPr>
          <w:rFonts w:ascii="Century Gothic" w:hAnsi="Century Gothic"/>
          <w:b/>
          <w:color w:val="003366"/>
          <w:sz w:val="20"/>
          <w:szCs w:val="20"/>
        </w:rPr>
        <w:t>Spafid</w:t>
      </w:r>
      <w:proofErr w:type="spellEnd"/>
      <w:r w:rsidR="009A5426" w:rsidRPr="00EE611E">
        <w:rPr>
          <w:rFonts w:ascii="Century Gothic" w:hAnsi="Century Gothic"/>
          <w:color w:val="003366"/>
          <w:sz w:val="20"/>
          <w:szCs w:val="20"/>
        </w:rPr>
        <w:t xml:space="preserve"> nell’ambito dei Servizi agli Emittenti </w:t>
      </w:r>
      <w:r w:rsidR="009A5426">
        <w:rPr>
          <w:rFonts w:ascii="Century Gothic" w:hAnsi="Century Gothic"/>
          <w:color w:val="003366"/>
          <w:sz w:val="20"/>
          <w:szCs w:val="20"/>
        </w:rPr>
        <w:t xml:space="preserve">, </w:t>
      </w:r>
      <w:r w:rsidR="00EE611E" w:rsidRPr="00EE611E">
        <w:rPr>
          <w:rFonts w:ascii="Century Gothic" w:hAnsi="Century Gothic"/>
          <w:color w:val="003366"/>
          <w:sz w:val="20"/>
          <w:szCs w:val="20"/>
        </w:rPr>
        <w:t>accelera</w:t>
      </w:r>
      <w:r w:rsidRPr="00EE611E">
        <w:rPr>
          <w:rFonts w:ascii="Century Gothic" w:hAnsi="Century Gothic"/>
          <w:color w:val="003366"/>
          <w:sz w:val="20"/>
          <w:szCs w:val="20"/>
        </w:rPr>
        <w:t xml:space="preserve"> il percorso di sviluppo </w:t>
      </w:r>
      <w:r w:rsidR="009A104D">
        <w:rPr>
          <w:rFonts w:ascii="Century Gothic" w:hAnsi="Century Gothic"/>
          <w:color w:val="003366"/>
          <w:sz w:val="20"/>
          <w:szCs w:val="20"/>
        </w:rPr>
        <w:t>stipulando un accordo strategico</w:t>
      </w:r>
      <w:r w:rsidRPr="00EE611E">
        <w:rPr>
          <w:rFonts w:ascii="Century Gothic" w:hAnsi="Century Gothic"/>
          <w:color w:val="003366"/>
          <w:sz w:val="20"/>
          <w:szCs w:val="20"/>
        </w:rPr>
        <w:t xml:space="preserve"> decennale con </w:t>
      </w:r>
      <w:r w:rsidRPr="00EE611E">
        <w:rPr>
          <w:rFonts w:ascii="Century Gothic" w:hAnsi="Century Gothic"/>
          <w:b/>
          <w:color w:val="003366"/>
          <w:sz w:val="20"/>
          <w:szCs w:val="20"/>
        </w:rPr>
        <w:t>CAD IT</w:t>
      </w:r>
      <w:r w:rsidRPr="00EE611E">
        <w:rPr>
          <w:rFonts w:ascii="Century Gothic" w:hAnsi="Century Gothic"/>
          <w:color w:val="003366"/>
          <w:sz w:val="20"/>
          <w:szCs w:val="20"/>
        </w:rPr>
        <w:t>, società all'avanguardia nel mercato del software finanziario e quotata al segmento STAR di Borsa Italiana.</w:t>
      </w:r>
    </w:p>
    <w:p w:rsidR="009D5EB1" w:rsidRPr="00EE611E" w:rsidRDefault="009D5EB1" w:rsidP="009D5EB1">
      <w:pPr>
        <w:rPr>
          <w:rFonts w:ascii="Century Gothic" w:hAnsi="Century Gothic"/>
          <w:color w:val="003366"/>
          <w:sz w:val="20"/>
          <w:szCs w:val="20"/>
        </w:rPr>
      </w:pPr>
      <w:r w:rsidRPr="00EE611E">
        <w:rPr>
          <w:rFonts w:ascii="Century Gothic" w:hAnsi="Century Gothic"/>
          <w:color w:val="003366"/>
          <w:sz w:val="20"/>
          <w:szCs w:val="20"/>
        </w:rPr>
        <w:t xml:space="preserve">L'integrazione della piattaforma </w:t>
      </w:r>
      <w:proofErr w:type="spellStart"/>
      <w:r w:rsidRPr="00EE611E">
        <w:rPr>
          <w:rFonts w:ascii="Century Gothic" w:hAnsi="Century Gothic"/>
          <w:color w:val="003366"/>
          <w:sz w:val="20"/>
          <w:szCs w:val="20"/>
        </w:rPr>
        <w:t>Spafid</w:t>
      </w:r>
      <w:proofErr w:type="spellEnd"/>
      <w:r w:rsidRPr="00EE611E">
        <w:rPr>
          <w:rFonts w:ascii="Century Gothic" w:hAnsi="Century Gothic"/>
          <w:color w:val="003366"/>
          <w:sz w:val="20"/>
          <w:szCs w:val="20"/>
        </w:rPr>
        <w:t xml:space="preserve"> Connect,  società </w:t>
      </w:r>
      <w:r w:rsidR="007924E8" w:rsidRPr="00EE611E">
        <w:rPr>
          <w:rFonts w:ascii="Century Gothic" w:hAnsi="Century Gothic"/>
          <w:color w:val="003366"/>
          <w:sz w:val="20"/>
          <w:szCs w:val="20"/>
        </w:rPr>
        <w:t>di recente creazione dedicata alla gestione dei</w:t>
      </w:r>
      <w:r w:rsidRPr="00EE611E">
        <w:rPr>
          <w:rFonts w:ascii="Century Gothic" w:hAnsi="Century Gothic"/>
          <w:color w:val="003366"/>
          <w:sz w:val="20"/>
          <w:szCs w:val="20"/>
        </w:rPr>
        <w:t xml:space="preserve"> servizi assembleari e </w:t>
      </w:r>
      <w:r w:rsidR="007924E8" w:rsidRPr="00EE611E">
        <w:rPr>
          <w:rFonts w:ascii="Century Gothic" w:hAnsi="Century Gothic"/>
          <w:color w:val="003366"/>
          <w:sz w:val="20"/>
          <w:szCs w:val="20"/>
        </w:rPr>
        <w:t xml:space="preserve">della </w:t>
      </w:r>
      <w:r w:rsidRPr="00EE611E">
        <w:rPr>
          <w:rFonts w:ascii="Century Gothic" w:hAnsi="Century Gothic"/>
          <w:i/>
          <w:color w:val="003366"/>
          <w:sz w:val="20"/>
          <w:szCs w:val="20"/>
        </w:rPr>
        <w:t xml:space="preserve">market </w:t>
      </w:r>
      <w:proofErr w:type="spellStart"/>
      <w:r w:rsidRPr="00EE611E">
        <w:rPr>
          <w:rFonts w:ascii="Century Gothic" w:hAnsi="Century Gothic"/>
          <w:i/>
          <w:color w:val="003366"/>
          <w:sz w:val="20"/>
          <w:szCs w:val="20"/>
        </w:rPr>
        <w:t>abuse</w:t>
      </w:r>
      <w:proofErr w:type="spellEnd"/>
      <w:r w:rsidR="007924E8" w:rsidRPr="00EE611E">
        <w:rPr>
          <w:rFonts w:ascii="Century Gothic" w:hAnsi="Century Gothic"/>
          <w:color w:val="003366"/>
          <w:sz w:val="20"/>
          <w:szCs w:val="20"/>
        </w:rPr>
        <w:t>,</w:t>
      </w:r>
      <w:r w:rsidRPr="00EE611E">
        <w:rPr>
          <w:rFonts w:ascii="Century Gothic" w:hAnsi="Century Gothic"/>
          <w:color w:val="003366"/>
          <w:sz w:val="20"/>
          <w:szCs w:val="20"/>
        </w:rPr>
        <w:t xml:space="preserve"> con l'area finanza CAD IT consentirà a banche e assicurazioni di fruire di </w:t>
      </w:r>
      <w:r w:rsidR="007924E8" w:rsidRPr="00EE611E">
        <w:rPr>
          <w:rFonts w:ascii="Century Gothic" w:hAnsi="Century Gothic"/>
          <w:color w:val="003366"/>
          <w:sz w:val="20"/>
          <w:szCs w:val="20"/>
        </w:rPr>
        <w:t>una gamma completa di soluzioni IT</w:t>
      </w:r>
      <w:r w:rsidRPr="00EE611E">
        <w:rPr>
          <w:rFonts w:ascii="Century Gothic" w:hAnsi="Century Gothic"/>
          <w:color w:val="003366"/>
          <w:sz w:val="20"/>
          <w:szCs w:val="20"/>
        </w:rPr>
        <w:t xml:space="preserve"> integrate con un </w:t>
      </w:r>
      <w:proofErr w:type="spellStart"/>
      <w:r w:rsidRPr="00EE611E">
        <w:rPr>
          <w:rFonts w:ascii="Century Gothic" w:hAnsi="Century Gothic"/>
          <w:i/>
          <w:color w:val="003366"/>
          <w:sz w:val="20"/>
          <w:szCs w:val="20"/>
        </w:rPr>
        <w:t>hub</w:t>
      </w:r>
      <w:proofErr w:type="spellEnd"/>
      <w:r w:rsidRPr="00EE611E">
        <w:rPr>
          <w:rFonts w:ascii="Century Gothic" w:hAnsi="Century Gothic"/>
          <w:color w:val="003366"/>
          <w:sz w:val="20"/>
          <w:szCs w:val="20"/>
        </w:rPr>
        <w:t xml:space="preserve"> professionale fortemente specializzato nell'assolvere </w:t>
      </w:r>
      <w:r w:rsidR="009A104D">
        <w:rPr>
          <w:rFonts w:ascii="Century Gothic" w:hAnsi="Century Gothic"/>
          <w:color w:val="003366"/>
          <w:sz w:val="20"/>
          <w:szCs w:val="20"/>
        </w:rPr>
        <w:t>gli adempimenti legati</w:t>
      </w:r>
      <w:r w:rsidRPr="00EE611E">
        <w:rPr>
          <w:rFonts w:ascii="Century Gothic" w:hAnsi="Century Gothic"/>
          <w:color w:val="003366"/>
          <w:sz w:val="20"/>
          <w:szCs w:val="20"/>
        </w:rPr>
        <w:t xml:space="preserve"> allo </w:t>
      </w:r>
      <w:r w:rsidRPr="00EE611E">
        <w:rPr>
          <w:rFonts w:ascii="Century Gothic" w:hAnsi="Century Gothic"/>
          <w:i/>
          <w:color w:val="003366"/>
          <w:sz w:val="20"/>
          <w:szCs w:val="20"/>
        </w:rPr>
        <w:t>status</w:t>
      </w:r>
      <w:r w:rsidRPr="00EE611E">
        <w:rPr>
          <w:rFonts w:ascii="Century Gothic" w:hAnsi="Century Gothic"/>
          <w:color w:val="003366"/>
          <w:sz w:val="20"/>
          <w:szCs w:val="20"/>
        </w:rPr>
        <w:t xml:space="preserve"> di Emittente.</w:t>
      </w:r>
    </w:p>
    <w:p w:rsidR="00560339" w:rsidRPr="00EE611E" w:rsidRDefault="007924E8" w:rsidP="00560339">
      <w:pPr>
        <w:rPr>
          <w:rFonts w:ascii="Century Gothic" w:hAnsi="Century Gothic"/>
          <w:color w:val="003366"/>
          <w:sz w:val="20"/>
          <w:szCs w:val="20"/>
        </w:rPr>
      </w:pPr>
      <w:proofErr w:type="spellStart"/>
      <w:r w:rsidRPr="00EE611E">
        <w:rPr>
          <w:rFonts w:ascii="Century Gothic" w:hAnsi="Century Gothic"/>
          <w:color w:val="003366"/>
          <w:sz w:val="20"/>
          <w:szCs w:val="20"/>
        </w:rPr>
        <w:t>Spafid</w:t>
      </w:r>
      <w:proofErr w:type="spellEnd"/>
      <w:r w:rsidR="009A5426">
        <w:rPr>
          <w:rFonts w:ascii="Century Gothic" w:hAnsi="Century Gothic"/>
          <w:color w:val="003366"/>
          <w:sz w:val="20"/>
          <w:szCs w:val="20"/>
        </w:rPr>
        <w:t>, società fiduciaria del Gruppo Mediobanca,</w:t>
      </w:r>
      <w:r w:rsidRPr="00EE611E">
        <w:rPr>
          <w:rFonts w:ascii="Century Gothic" w:hAnsi="Century Gothic"/>
          <w:color w:val="003366"/>
          <w:sz w:val="20"/>
          <w:szCs w:val="20"/>
        </w:rPr>
        <w:t xml:space="preserve"> vanta</w:t>
      </w:r>
      <w:r w:rsidR="00560339" w:rsidRPr="00EE611E">
        <w:rPr>
          <w:rFonts w:ascii="Century Gothic" w:hAnsi="Century Gothic"/>
          <w:color w:val="003366"/>
          <w:sz w:val="20"/>
          <w:szCs w:val="20"/>
        </w:rPr>
        <w:t xml:space="preserve"> una pluriennale esperienza nell'ammin</w:t>
      </w:r>
      <w:r w:rsidRPr="00EE611E">
        <w:rPr>
          <w:rFonts w:ascii="Century Gothic" w:hAnsi="Century Gothic"/>
          <w:color w:val="003366"/>
          <w:sz w:val="20"/>
          <w:szCs w:val="20"/>
        </w:rPr>
        <w:t>istrazione di patrimoni privati e di importanti famiglie imprenditoriali, e</w:t>
      </w:r>
      <w:r w:rsidR="00560339" w:rsidRPr="00EE611E">
        <w:rPr>
          <w:rFonts w:ascii="Century Gothic" w:hAnsi="Century Gothic"/>
          <w:color w:val="003366"/>
          <w:sz w:val="20"/>
          <w:szCs w:val="20"/>
        </w:rPr>
        <w:t xml:space="preserve"> ha una tradizionale vocazione nei Servizi agli Emittenti (Tenuta Libro Soci e gestione assembleare </w:t>
      </w:r>
      <w:r w:rsidR="00560339" w:rsidRPr="00EE611E">
        <w:rPr>
          <w:rFonts w:ascii="Century Gothic" w:hAnsi="Century Gothic"/>
          <w:i/>
          <w:color w:val="003366"/>
          <w:sz w:val="20"/>
          <w:szCs w:val="20"/>
        </w:rPr>
        <w:t>in primis</w:t>
      </w:r>
      <w:r w:rsidR="00675FE9" w:rsidRPr="00EE611E">
        <w:rPr>
          <w:rFonts w:ascii="Century Gothic" w:hAnsi="Century Gothic"/>
          <w:color w:val="003366"/>
          <w:sz w:val="20"/>
          <w:szCs w:val="20"/>
        </w:rPr>
        <w:t>).</w:t>
      </w:r>
    </w:p>
    <w:p w:rsidR="00A004D9" w:rsidRPr="00EE611E" w:rsidRDefault="007924E8" w:rsidP="00560339">
      <w:pPr>
        <w:rPr>
          <w:rFonts w:ascii="Century Gothic" w:hAnsi="Century Gothic"/>
          <w:color w:val="003366"/>
          <w:sz w:val="20"/>
          <w:szCs w:val="20"/>
        </w:rPr>
      </w:pPr>
      <w:r w:rsidRPr="00EE611E">
        <w:rPr>
          <w:rFonts w:ascii="Century Gothic" w:hAnsi="Century Gothic"/>
          <w:color w:val="003366"/>
          <w:sz w:val="20"/>
          <w:szCs w:val="20"/>
        </w:rPr>
        <w:t>Attraverso</w:t>
      </w:r>
      <w:r w:rsidR="00560339" w:rsidRPr="00EE611E">
        <w:rPr>
          <w:rFonts w:ascii="Century Gothic" w:hAnsi="Century Gothic"/>
          <w:color w:val="003366"/>
          <w:sz w:val="20"/>
          <w:szCs w:val="20"/>
        </w:rPr>
        <w:t xml:space="preserve"> </w:t>
      </w:r>
      <w:proofErr w:type="spellStart"/>
      <w:r w:rsidR="00560339" w:rsidRPr="00EE611E">
        <w:rPr>
          <w:rFonts w:ascii="Century Gothic" w:hAnsi="Century Gothic"/>
          <w:color w:val="003366"/>
          <w:sz w:val="20"/>
          <w:szCs w:val="20"/>
        </w:rPr>
        <w:t>Spafid</w:t>
      </w:r>
      <w:proofErr w:type="spellEnd"/>
      <w:r w:rsidR="00560339" w:rsidRPr="00EE611E">
        <w:rPr>
          <w:rFonts w:ascii="Century Gothic" w:hAnsi="Century Gothic"/>
          <w:color w:val="003366"/>
          <w:sz w:val="20"/>
          <w:szCs w:val="20"/>
        </w:rPr>
        <w:t xml:space="preserve">, </w:t>
      </w:r>
      <w:r w:rsidRPr="00EE611E">
        <w:rPr>
          <w:rFonts w:ascii="Century Gothic" w:hAnsi="Century Gothic"/>
          <w:color w:val="003366"/>
          <w:sz w:val="20"/>
          <w:szCs w:val="20"/>
        </w:rPr>
        <w:t xml:space="preserve">il Gruppo </w:t>
      </w:r>
      <w:r w:rsidR="00560339" w:rsidRPr="00EE611E">
        <w:rPr>
          <w:rFonts w:ascii="Century Gothic" w:hAnsi="Century Gothic"/>
          <w:color w:val="003366"/>
          <w:sz w:val="20"/>
          <w:szCs w:val="20"/>
        </w:rPr>
        <w:t>Medioba</w:t>
      </w:r>
      <w:r w:rsidR="00675FE9" w:rsidRPr="00EE611E">
        <w:rPr>
          <w:rFonts w:ascii="Century Gothic" w:hAnsi="Century Gothic"/>
          <w:color w:val="003366"/>
          <w:sz w:val="20"/>
          <w:szCs w:val="20"/>
        </w:rPr>
        <w:t>nca ha sviluppato di recente un’</w:t>
      </w:r>
      <w:r w:rsidR="00560339" w:rsidRPr="00EE611E">
        <w:rPr>
          <w:rFonts w:ascii="Century Gothic" w:hAnsi="Century Gothic"/>
          <w:color w:val="003366"/>
          <w:sz w:val="20"/>
          <w:szCs w:val="20"/>
        </w:rPr>
        <w:t>estesa gamma d'interventi di assistenza societaria e operativa a</w:t>
      </w:r>
      <w:r w:rsidR="00675FE9" w:rsidRPr="00EE611E">
        <w:rPr>
          <w:rFonts w:ascii="Century Gothic" w:hAnsi="Century Gothic"/>
          <w:color w:val="003366"/>
          <w:sz w:val="20"/>
          <w:szCs w:val="20"/>
        </w:rPr>
        <w:t xml:space="preserve"> supporto degli Emittenti </w:t>
      </w:r>
      <w:r w:rsidR="00560339" w:rsidRPr="00EE611E">
        <w:rPr>
          <w:rFonts w:ascii="Century Gothic" w:hAnsi="Century Gothic"/>
          <w:color w:val="003366"/>
          <w:sz w:val="20"/>
          <w:szCs w:val="20"/>
        </w:rPr>
        <w:t>(</w:t>
      </w:r>
      <w:proofErr w:type="spellStart"/>
      <w:r w:rsidR="00560339" w:rsidRPr="00EE611E">
        <w:rPr>
          <w:rFonts w:ascii="Century Gothic" w:hAnsi="Century Gothic"/>
          <w:i/>
          <w:color w:val="003366"/>
          <w:sz w:val="20"/>
          <w:szCs w:val="20"/>
        </w:rPr>
        <w:t>large</w:t>
      </w:r>
      <w:proofErr w:type="spellEnd"/>
      <w:r w:rsidR="00560339" w:rsidRPr="00EE611E">
        <w:rPr>
          <w:rFonts w:ascii="Century Gothic" w:hAnsi="Century Gothic"/>
          <w:i/>
          <w:color w:val="003366"/>
          <w:sz w:val="20"/>
          <w:szCs w:val="20"/>
        </w:rPr>
        <w:t xml:space="preserve"> corporate, </w:t>
      </w:r>
      <w:proofErr w:type="spellStart"/>
      <w:r w:rsidR="00560339" w:rsidRPr="00EE611E">
        <w:rPr>
          <w:rFonts w:ascii="Century Gothic" w:hAnsi="Century Gothic"/>
          <w:i/>
          <w:color w:val="003366"/>
          <w:sz w:val="20"/>
          <w:szCs w:val="20"/>
        </w:rPr>
        <w:t>mid</w:t>
      </w:r>
      <w:proofErr w:type="spellEnd"/>
      <w:r w:rsidR="00560339" w:rsidRPr="00EE611E">
        <w:rPr>
          <w:rFonts w:ascii="Century Gothic" w:hAnsi="Century Gothic"/>
          <w:i/>
          <w:color w:val="003366"/>
          <w:sz w:val="20"/>
          <w:szCs w:val="20"/>
        </w:rPr>
        <w:t xml:space="preserve"> corporate</w:t>
      </w:r>
      <w:r w:rsidR="00560339" w:rsidRPr="00EE611E">
        <w:rPr>
          <w:rFonts w:ascii="Century Gothic" w:hAnsi="Century Gothic"/>
          <w:color w:val="003366"/>
          <w:sz w:val="20"/>
          <w:szCs w:val="20"/>
        </w:rPr>
        <w:t xml:space="preserve">, banche e assicurazioni) </w:t>
      </w:r>
      <w:r w:rsidR="00675FE9" w:rsidRPr="00EE611E">
        <w:rPr>
          <w:rFonts w:ascii="Century Gothic" w:hAnsi="Century Gothic"/>
          <w:color w:val="003366"/>
          <w:sz w:val="20"/>
          <w:szCs w:val="20"/>
        </w:rPr>
        <w:t>sinergici rispetto</w:t>
      </w:r>
      <w:r w:rsidR="00560339" w:rsidRPr="00EE611E">
        <w:rPr>
          <w:rFonts w:ascii="Century Gothic" w:hAnsi="Century Gothic"/>
          <w:color w:val="003366"/>
          <w:sz w:val="20"/>
          <w:szCs w:val="20"/>
        </w:rPr>
        <w:t xml:space="preserve"> alle attività tipiche di banca di investimento (</w:t>
      </w:r>
      <w:proofErr w:type="spellStart"/>
      <w:r w:rsidR="00560339" w:rsidRPr="00EE611E">
        <w:rPr>
          <w:rFonts w:ascii="Century Gothic" w:hAnsi="Century Gothic"/>
          <w:i/>
          <w:color w:val="003366"/>
          <w:sz w:val="20"/>
          <w:szCs w:val="20"/>
        </w:rPr>
        <w:t>advisory</w:t>
      </w:r>
      <w:proofErr w:type="spellEnd"/>
      <w:r w:rsidR="00560339" w:rsidRPr="00EE611E">
        <w:rPr>
          <w:rFonts w:ascii="Century Gothic" w:hAnsi="Century Gothic"/>
          <w:i/>
          <w:color w:val="003366"/>
          <w:sz w:val="20"/>
          <w:szCs w:val="20"/>
        </w:rPr>
        <w:t xml:space="preserve">, </w:t>
      </w:r>
      <w:proofErr w:type="spellStart"/>
      <w:r w:rsidR="00560339" w:rsidRPr="00EE611E">
        <w:rPr>
          <w:rFonts w:ascii="Century Gothic" w:hAnsi="Century Gothic"/>
          <w:i/>
          <w:color w:val="003366"/>
          <w:sz w:val="20"/>
          <w:szCs w:val="20"/>
        </w:rPr>
        <w:t>lending</w:t>
      </w:r>
      <w:proofErr w:type="spellEnd"/>
      <w:r w:rsidR="00560339" w:rsidRPr="00EE611E">
        <w:rPr>
          <w:rFonts w:ascii="Century Gothic" w:hAnsi="Century Gothic"/>
          <w:i/>
          <w:color w:val="003366"/>
          <w:sz w:val="20"/>
          <w:szCs w:val="20"/>
        </w:rPr>
        <w:t xml:space="preserve"> </w:t>
      </w:r>
      <w:r w:rsidR="00560339" w:rsidRPr="00EE611E">
        <w:rPr>
          <w:rFonts w:ascii="Century Gothic" w:hAnsi="Century Gothic"/>
          <w:color w:val="003366"/>
          <w:sz w:val="20"/>
          <w:szCs w:val="20"/>
        </w:rPr>
        <w:t>e</w:t>
      </w:r>
      <w:r w:rsidR="00560339" w:rsidRPr="00EE611E">
        <w:rPr>
          <w:rFonts w:ascii="Century Gothic" w:hAnsi="Century Gothic"/>
          <w:i/>
          <w:color w:val="003366"/>
          <w:sz w:val="20"/>
          <w:szCs w:val="20"/>
        </w:rPr>
        <w:t xml:space="preserve"> capital market</w:t>
      </w:r>
      <w:r w:rsidR="00560339" w:rsidRPr="00EE611E">
        <w:rPr>
          <w:rFonts w:ascii="Century Gothic" w:hAnsi="Century Gothic"/>
          <w:color w:val="003366"/>
          <w:sz w:val="20"/>
          <w:szCs w:val="20"/>
        </w:rPr>
        <w:t>). La rapida</w:t>
      </w:r>
      <w:r w:rsidR="00560339" w:rsidRPr="00EE611E">
        <w:rPr>
          <w:rFonts w:ascii="Century Gothic" w:hAnsi="Century Gothic"/>
          <w:i/>
          <w:color w:val="003366"/>
          <w:sz w:val="20"/>
          <w:szCs w:val="20"/>
        </w:rPr>
        <w:t xml:space="preserve"> </w:t>
      </w:r>
      <w:r w:rsidR="00560339" w:rsidRPr="00EE611E">
        <w:rPr>
          <w:rFonts w:ascii="Century Gothic" w:hAnsi="Century Gothic"/>
          <w:color w:val="003366"/>
          <w:sz w:val="20"/>
          <w:szCs w:val="20"/>
        </w:rPr>
        <w:t xml:space="preserve">evoluzione dei mercati e la crescente complessità degli obblighi </w:t>
      </w:r>
      <w:r w:rsidR="00675FE9" w:rsidRPr="00EE611E">
        <w:rPr>
          <w:rFonts w:ascii="Century Gothic" w:hAnsi="Century Gothic"/>
          <w:color w:val="003366"/>
          <w:sz w:val="20"/>
          <w:szCs w:val="20"/>
        </w:rPr>
        <w:t>a carico delle società</w:t>
      </w:r>
      <w:r w:rsidR="005534A2" w:rsidRPr="00EE611E">
        <w:rPr>
          <w:rFonts w:ascii="Century Gothic" w:hAnsi="Century Gothic"/>
          <w:color w:val="003366"/>
          <w:sz w:val="20"/>
          <w:szCs w:val="20"/>
        </w:rPr>
        <w:t xml:space="preserve"> quotate, spesso rappresentate da imprese familiari che accedono alla Borsa per gestire i passaggi generazionali, </w:t>
      </w:r>
      <w:r w:rsidR="00A004D9" w:rsidRPr="00EE611E">
        <w:rPr>
          <w:rFonts w:ascii="Century Gothic" w:hAnsi="Century Gothic"/>
          <w:color w:val="003366"/>
          <w:sz w:val="20"/>
          <w:szCs w:val="20"/>
        </w:rPr>
        <w:t>hanno spinto il Gruppo Mediobanca a</w:t>
      </w:r>
      <w:r w:rsidR="00560339" w:rsidRPr="00EE611E">
        <w:rPr>
          <w:rFonts w:ascii="Century Gothic" w:hAnsi="Century Gothic"/>
          <w:color w:val="003366"/>
          <w:sz w:val="20"/>
          <w:szCs w:val="20"/>
        </w:rPr>
        <w:t xml:space="preserve"> rafforzare il perimetro d'intervento nell'assistenza alle società quotate e </w:t>
      </w:r>
      <w:r w:rsidR="00675FE9" w:rsidRPr="00EE611E">
        <w:rPr>
          <w:rFonts w:ascii="Century Gothic" w:hAnsi="Century Gothic"/>
          <w:color w:val="003366"/>
          <w:sz w:val="20"/>
          <w:szCs w:val="20"/>
        </w:rPr>
        <w:t xml:space="preserve">di prossima quotazione. </w:t>
      </w:r>
    </w:p>
    <w:p w:rsidR="00560339" w:rsidRPr="00EE611E" w:rsidRDefault="005534A2" w:rsidP="00560339">
      <w:pPr>
        <w:rPr>
          <w:rFonts w:ascii="Century Gothic" w:hAnsi="Century Gothic"/>
          <w:color w:val="003366"/>
          <w:sz w:val="20"/>
          <w:szCs w:val="20"/>
        </w:rPr>
      </w:pPr>
      <w:r w:rsidRPr="00EE611E">
        <w:rPr>
          <w:rFonts w:ascii="Century Gothic" w:hAnsi="Century Gothic"/>
          <w:color w:val="003366"/>
          <w:sz w:val="20"/>
          <w:szCs w:val="20"/>
        </w:rPr>
        <w:t xml:space="preserve">Per </w:t>
      </w:r>
      <w:proofErr w:type="spellStart"/>
      <w:r w:rsidRPr="00EE611E">
        <w:rPr>
          <w:rFonts w:ascii="Century Gothic" w:hAnsi="Century Gothic"/>
          <w:color w:val="003366"/>
          <w:sz w:val="20"/>
          <w:szCs w:val="20"/>
        </w:rPr>
        <w:t>Spafid</w:t>
      </w:r>
      <w:proofErr w:type="spellEnd"/>
      <w:r w:rsidRPr="00EE611E">
        <w:rPr>
          <w:rFonts w:ascii="Century Gothic" w:hAnsi="Century Gothic"/>
          <w:color w:val="003366"/>
          <w:sz w:val="20"/>
          <w:szCs w:val="20"/>
        </w:rPr>
        <w:t xml:space="preserve"> è strategico</w:t>
      </w:r>
      <w:r w:rsidR="00560339" w:rsidRPr="00EE611E">
        <w:rPr>
          <w:rFonts w:ascii="Century Gothic" w:hAnsi="Century Gothic"/>
          <w:color w:val="003366"/>
          <w:sz w:val="20"/>
          <w:szCs w:val="20"/>
        </w:rPr>
        <w:t xml:space="preserve"> disporre di una piattaforma tecnologica proprietaria idonea a sviluppare e rendere disponibili ai propri clienti soluzioni informatiche per Emittenti a integrazione </w:t>
      </w:r>
      <w:r w:rsidRPr="00EE611E">
        <w:rPr>
          <w:rFonts w:ascii="Century Gothic" w:hAnsi="Century Gothic"/>
          <w:color w:val="003366"/>
          <w:sz w:val="20"/>
          <w:szCs w:val="20"/>
        </w:rPr>
        <w:t xml:space="preserve">dei propri servizi professionali. </w:t>
      </w:r>
      <w:r w:rsidR="00EE611E" w:rsidRPr="00EE611E">
        <w:rPr>
          <w:rFonts w:ascii="Century Gothic" w:hAnsi="Century Gothic"/>
          <w:color w:val="003366"/>
          <w:sz w:val="20"/>
          <w:szCs w:val="20"/>
        </w:rPr>
        <w:t>A questo scopo</w:t>
      </w:r>
      <w:r w:rsidRPr="00EE611E">
        <w:rPr>
          <w:rFonts w:ascii="Century Gothic" w:hAnsi="Century Gothic"/>
          <w:color w:val="003366"/>
          <w:sz w:val="20"/>
          <w:szCs w:val="20"/>
        </w:rPr>
        <w:t xml:space="preserve"> </w:t>
      </w:r>
      <w:r w:rsidR="00560339" w:rsidRPr="00EE611E">
        <w:rPr>
          <w:rFonts w:ascii="Century Gothic" w:hAnsi="Century Gothic"/>
          <w:color w:val="003366"/>
          <w:sz w:val="20"/>
          <w:szCs w:val="20"/>
        </w:rPr>
        <w:t xml:space="preserve">ha costituito nel giugno scorso </w:t>
      </w:r>
      <w:proofErr w:type="spellStart"/>
      <w:r w:rsidR="00560339" w:rsidRPr="00EE611E">
        <w:rPr>
          <w:rFonts w:ascii="Century Gothic" w:hAnsi="Century Gothic"/>
          <w:color w:val="003366"/>
          <w:sz w:val="20"/>
          <w:szCs w:val="20"/>
        </w:rPr>
        <w:t>Spafid</w:t>
      </w:r>
      <w:proofErr w:type="spellEnd"/>
      <w:r w:rsidR="00560339" w:rsidRPr="00EE611E">
        <w:rPr>
          <w:rFonts w:ascii="Century Gothic" w:hAnsi="Century Gothic"/>
          <w:color w:val="003366"/>
          <w:sz w:val="20"/>
          <w:szCs w:val="20"/>
        </w:rPr>
        <w:t xml:space="preserve"> Connect</w:t>
      </w:r>
      <w:r w:rsidR="00EE611E" w:rsidRPr="00EE611E">
        <w:rPr>
          <w:rFonts w:ascii="Century Gothic" w:hAnsi="Century Gothic"/>
          <w:color w:val="003366"/>
          <w:sz w:val="20"/>
          <w:szCs w:val="20"/>
        </w:rPr>
        <w:t>,</w:t>
      </w:r>
      <w:r w:rsidR="00560339" w:rsidRPr="00EE611E">
        <w:rPr>
          <w:rFonts w:ascii="Century Gothic" w:hAnsi="Century Gothic"/>
          <w:color w:val="003366"/>
          <w:sz w:val="20"/>
          <w:szCs w:val="20"/>
        </w:rPr>
        <w:t xml:space="preserve"> una </w:t>
      </w:r>
      <w:r w:rsidR="00560339" w:rsidRPr="00EE611E">
        <w:rPr>
          <w:rFonts w:ascii="Century Gothic" w:hAnsi="Century Gothic"/>
          <w:i/>
          <w:color w:val="003366"/>
          <w:sz w:val="20"/>
          <w:szCs w:val="20"/>
        </w:rPr>
        <w:t>joint venture</w:t>
      </w:r>
      <w:r w:rsidR="00560339" w:rsidRPr="00EE611E">
        <w:rPr>
          <w:rFonts w:ascii="Century Gothic" w:hAnsi="Century Gothic"/>
          <w:color w:val="003366"/>
          <w:sz w:val="20"/>
          <w:szCs w:val="20"/>
        </w:rPr>
        <w:t xml:space="preserve"> con Feedback Italia, società leader in Europa nel voto assembleare elettronico e nella comunicazione interattiva.</w:t>
      </w:r>
    </w:p>
    <w:p w:rsidR="00AD0630" w:rsidRPr="00EE611E" w:rsidRDefault="00AD0630" w:rsidP="00AD0630">
      <w:pPr>
        <w:jc w:val="both"/>
        <w:rPr>
          <w:rFonts w:ascii="Century Gothic" w:hAnsi="Century Gothic"/>
          <w:color w:val="003366"/>
          <w:sz w:val="20"/>
          <w:szCs w:val="20"/>
        </w:rPr>
      </w:pPr>
      <w:r w:rsidRPr="00EE611E">
        <w:rPr>
          <w:rFonts w:ascii="Century Gothic" w:hAnsi="Century Gothic"/>
          <w:b/>
          <w:color w:val="003366"/>
          <w:sz w:val="20"/>
          <w:szCs w:val="20"/>
        </w:rPr>
        <w:t xml:space="preserve">Stefano Pellegrino, Amministratore Delegato di </w:t>
      </w:r>
      <w:proofErr w:type="spellStart"/>
      <w:r w:rsidRPr="00EE611E">
        <w:rPr>
          <w:rFonts w:ascii="Century Gothic" w:hAnsi="Century Gothic"/>
          <w:b/>
          <w:color w:val="003366"/>
          <w:sz w:val="20"/>
          <w:szCs w:val="20"/>
        </w:rPr>
        <w:t>Spafid</w:t>
      </w:r>
      <w:proofErr w:type="spellEnd"/>
      <w:r w:rsidRPr="00EE611E">
        <w:rPr>
          <w:rFonts w:ascii="Century Gothic" w:hAnsi="Century Gothic"/>
          <w:b/>
          <w:color w:val="003366"/>
          <w:sz w:val="20"/>
          <w:szCs w:val="20"/>
        </w:rPr>
        <w:t xml:space="preserve"> e </w:t>
      </w:r>
      <w:proofErr w:type="spellStart"/>
      <w:r w:rsidRPr="00EE611E">
        <w:rPr>
          <w:rFonts w:ascii="Century Gothic" w:hAnsi="Century Gothic"/>
          <w:b/>
          <w:color w:val="003366"/>
          <w:sz w:val="20"/>
          <w:szCs w:val="20"/>
        </w:rPr>
        <w:t>Spafid</w:t>
      </w:r>
      <w:proofErr w:type="spellEnd"/>
      <w:r w:rsidRPr="00EE611E">
        <w:rPr>
          <w:rFonts w:ascii="Century Gothic" w:hAnsi="Century Gothic"/>
          <w:b/>
          <w:color w:val="003366"/>
          <w:sz w:val="20"/>
          <w:szCs w:val="20"/>
        </w:rPr>
        <w:t xml:space="preserve"> Connect</w:t>
      </w:r>
      <w:r w:rsidRPr="00EE611E">
        <w:rPr>
          <w:rFonts w:ascii="Century Gothic" w:hAnsi="Century Gothic"/>
          <w:color w:val="003366"/>
          <w:sz w:val="20"/>
          <w:szCs w:val="20"/>
        </w:rPr>
        <w:t xml:space="preserve">, dichiara: “Sono molto soddisfatto della partnership con CAD IT che arriva a pochi mesi di distanza dalla costituzione di </w:t>
      </w:r>
      <w:proofErr w:type="spellStart"/>
      <w:r w:rsidRPr="00EE611E">
        <w:rPr>
          <w:rFonts w:ascii="Century Gothic" w:hAnsi="Century Gothic"/>
          <w:color w:val="003366"/>
          <w:sz w:val="20"/>
          <w:szCs w:val="20"/>
        </w:rPr>
        <w:t>Spafid</w:t>
      </w:r>
      <w:proofErr w:type="spellEnd"/>
      <w:r w:rsidRPr="00EE611E">
        <w:rPr>
          <w:rFonts w:ascii="Century Gothic" w:hAnsi="Century Gothic"/>
          <w:color w:val="003366"/>
          <w:sz w:val="20"/>
          <w:szCs w:val="20"/>
        </w:rPr>
        <w:t xml:space="preserve"> Connect, la piattaforma tecnologica di </w:t>
      </w:r>
      <w:proofErr w:type="spellStart"/>
      <w:r w:rsidRPr="00EE611E">
        <w:rPr>
          <w:rFonts w:ascii="Century Gothic" w:hAnsi="Century Gothic"/>
          <w:color w:val="003366"/>
          <w:sz w:val="20"/>
          <w:szCs w:val="20"/>
        </w:rPr>
        <w:t>Spafid</w:t>
      </w:r>
      <w:proofErr w:type="spellEnd"/>
      <w:r w:rsidRPr="00EE611E">
        <w:rPr>
          <w:rFonts w:ascii="Century Gothic" w:hAnsi="Century Gothic"/>
          <w:color w:val="003366"/>
          <w:sz w:val="20"/>
          <w:szCs w:val="20"/>
        </w:rPr>
        <w:t xml:space="preserve"> nell’ambito dei Servizi agli Emittenti, e rappresenta un ulteriore e importante progresso nel percorso di sviluppo della nostra società. Quest’accordo consentirà di superare il problema della frammentazione delle soluzioni IT </w:t>
      </w:r>
      <w:r w:rsidR="00734829" w:rsidRPr="00EE611E">
        <w:rPr>
          <w:rFonts w:ascii="Century Gothic" w:hAnsi="Century Gothic"/>
          <w:color w:val="003366"/>
          <w:sz w:val="20"/>
          <w:szCs w:val="20"/>
        </w:rPr>
        <w:t>offerte a banche e assicurazioni integrandole con i s</w:t>
      </w:r>
      <w:r w:rsidR="0097444C">
        <w:rPr>
          <w:rFonts w:ascii="Century Gothic" w:hAnsi="Century Gothic"/>
          <w:color w:val="003366"/>
          <w:sz w:val="20"/>
          <w:szCs w:val="20"/>
        </w:rPr>
        <w:t>ervizi di assistenza alle società quotate e di prossima quotazione</w:t>
      </w:r>
      <w:r w:rsidR="00734829" w:rsidRPr="00EE611E">
        <w:rPr>
          <w:rFonts w:ascii="Century Gothic" w:hAnsi="Century Gothic"/>
          <w:color w:val="003366"/>
          <w:sz w:val="20"/>
          <w:szCs w:val="20"/>
        </w:rPr>
        <w:t>.”</w:t>
      </w:r>
    </w:p>
    <w:p w:rsidR="00AD0630" w:rsidRPr="00EE611E" w:rsidRDefault="00AD0630" w:rsidP="00AD0630">
      <w:pPr>
        <w:jc w:val="both"/>
        <w:rPr>
          <w:rFonts w:ascii="Century Gothic" w:hAnsi="Century Gothic"/>
          <w:color w:val="003366"/>
          <w:sz w:val="20"/>
          <w:szCs w:val="20"/>
        </w:rPr>
      </w:pPr>
      <w:r w:rsidRPr="00EE611E">
        <w:rPr>
          <w:rFonts w:ascii="Century Gothic" w:hAnsi="Century Gothic"/>
          <w:b/>
          <w:color w:val="003366"/>
          <w:sz w:val="20"/>
          <w:szCs w:val="20"/>
        </w:rPr>
        <w:t xml:space="preserve">Giuseppe Dal </w:t>
      </w:r>
      <w:proofErr w:type="spellStart"/>
      <w:r w:rsidRPr="00EE611E">
        <w:rPr>
          <w:rFonts w:ascii="Century Gothic" w:hAnsi="Century Gothic"/>
          <w:b/>
          <w:color w:val="003366"/>
          <w:sz w:val="20"/>
          <w:szCs w:val="20"/>
        </w:rPr>
        <w:t>Cortivo</w:t>
      </w:r>
      <w:proofErr w:type="spellEnd"/>
      <w:r w:rsidRPr="00EE611E">
        <w:rPr>
          <w:rFonts w:ascii="Century Gothic" w:hAnsi="Century Gothic"/>
          <w:b/>
          <w:color w:val="003366"/>
          <w:sz w:val="20"/>
          <w:szCs w:val="20"/>
        </w:rPr>
        <w:t>, Presidente del Gruppo CAD IT</w:t>
      </w:r>
      <w:r w:rsidRPr="00EE611E">
        <w:rPr>
          <w:rFonts w:ascii="Century Gothic" w:hAnsi="Century Gothic"/>
          <w:color w:val="003366"/>
          <w:sz w:val="20"/>
          <w:szCs w:val="20"/>
        </w:rPr>
        <w:t xml:space="preserve">, aggiunge: “Questa partnership con una Società di primario standing come </w:t>
      </w:r>
      <w:proofErr w:type="spellStart"/>
      <w:r w:rsidRPr="00EE611E">
        <w:rPr>
          <w:rFonts w:ascii="Century Gothic" w:hAnsi="Century Gothic"/>
          <w:color w:val="003366"/>
          <w:sz w:val="20"/>
          <w:szCs w:val="20"/>
        </w:rPr>
        <w:t>Spafid</w:t>
      </w:r>
      <w:proofErr w:type="spellEnd"/>
      <w:r w:rsidRPr="00EE611E">
        <w:rPr>
          <w:rFonts w:ascii="Century Gothic" w:hAnsi="Century Gothic"/>
          <w:color w:val="003366"/>
          <w:sz w:val="20"/>
          <w:szCs w:val="20"/>
        </w:rPr>
        <w:t xml:space="preserve"> Connect del Gruppo Mediobanca ci consente di </w:t>
      </w:r>
      <w:r w:rsidRPr="00D55ACF">
        <w:rPr>
          <w:rFonts w:ascii="Century Gothic" w:hAnsi="Century Gothic"/>
          <w:color w:val="003366"/>
          <w:sz w:val="20"/>
          <w:szCs w:val="20"/>
        </w:rPr>
        <w:t>differenziare la nostra offerta verso gli Emittenti</w:t>
      </w:r>
      <w:r w:rsidRPr="00EE611E">
        <w:rPr>
          <w:rFonts w:ascii="Century Gothic" w:hAnsi="Century Gothic"/>
          <w:color w:val="003366"/>
          <w:sz w:val="20"/>
          <w:szCs w:val="20"/>
        </w:rPr>
        <w:t xml:space="preserve">  facendo leva sulla forte complementarietà che esiste combinando i nostri prodotti </w:t>
      </w:r>
      <w:r w:rsidR="009A104D">
        <w:rPr>
          <w:rFonts w:ascii="Century Gothic" w:hAnsi="Century Gothic"/>
          <w:color w:val="003366"/>
          <w:sz w:val="20"/>
          <w:szCs w:val="20"/>
        </w:rPr>
        <w:t xml:space="preserve">con i servizi di </w:t>
      </w:r>
      <w:proofErr w:type="spellStart"/>
      <w:r w:rsidR="009A104D">
        <w:rPr>
          <w:rFonts w:ascii="Century Gothic" w:hAnsi="Century Gothic"/>
          <w:color w:val="003366"/>
          <w:sz w:val="20"/>
          <w:szCs w:val="20"/>
        </w:rPr>
        <w:t>Spafid</w:t>
      </w:r>
      <w:proofErr w:type="spellEnd"/>
      <w:r w:rsidR="009A104D">
        <w:rPr>
          <w:rFonts w:ascii="Century Gothic" w:hAnsi="Century Gothic"/>
          <w:color w:val="003366"/>
          <w:sz w:val="20"/>
          <w:szCs w:val="20"/>
        </w:rPr>
        <w:t xml:space="preserve"> Connect</w:t>
      </w:r>
      <w:r w:rsidRPr="00EE611E">
        <w:rPr>
          <w:rFonts w:ascii="Century Gothic" w:hAnsi="Century Gothic"/>
          <w:color w:val="003366"/>
          <w:sz w:val="20"/>
          <w:szCs w:val="20"/>
        </w:rPr>
        <w:t>”.</w:t>
      </w:r>
    </w:p>
    <w:p w:rsidR="00C42597" w:rsidRPr="00EE611E" w:rsidRDefault="00C42597" w:rsidP="001953FC">
      <w:pPr>
        <w:rPr>
          <w:rFonts w:ascii="Century Gothic" w:hAnsi="Century Gothic"/>
          <w:color w:val="003366"/>
          <w:sz w:val="20"/>
          <w:szCs w:val="20"/>
        </w:rPr>
      </w:pPr>
    </w:p>
    <w:p w:rsidR="003C0076" w:rsidRPr="00EE611E" w:rsidRDefault="003C0076" w:rsidP="001953FC">
      <w:pPr>
        <w:rPr>
          <w:rFonts w:ascii="Century Gothic" w:hAnsi="Century Gothic"/>
          <w:color w:val="003366"/>
          <w:sz w:val="20"/>
          <w:szCs w:val="20"/>
        </w:rPr>
      </w:pPr>
      <w:r w:rsidRPr="00EE611E">
        <w:rPr>
          <w:rFonts w:ascii="Century Gothic" w:hAnsi="Century Gothic"/>
          <w:color w:val="003366"/>
          <w:sz w:val="20"/>
          <w:szCs w:val="20"/>
        </w:rPr>
        <w:lastRenderedPageBreak/>
        <w:t>Per informazioni :</w:t>
      </w:r>
    </w:p>
    <w:p w:rsidR="003C0076" w:rsidRPr="00EE611E" w:rsidRDefault="003C0076" w:rsidP="001953FC">
      <w:pPr>
        <w:rPr>
          <w:rFonts w:ascii="Century Gothic" w:hAnsi="Century Gothic"/>
          <w:color w:val="003366"/>
          <w:sz w:val="20"/>
          <w:szCs w:val="20"/>
        </w:rPr>
      </w:pPr>
      <w:r w:rsidRPr="00EE611E">
        <w:rPr>
          <w:rFonts w:ascii="Century Gothic" w:hAnsi="Century Gothic"/>
          <w:color w:val="003366"/>
          <w:sz w:val="20"/>
          <w:szCs w:val="20"/>
        </w:rPr>
        <w:t>Media Relations Mediobanca</w:t>
      </w:r>
    </w:p>
    <w:p w:rsidR="003C0076" w:rsidRPr="00EE611E" w:rsidRDefault="001D6137" w:rsidP="001953FC">
      <w:pPr>
        <w:rPr>
          <w:rFonts w:ascii="Century Gothic" w:hAnsi="Century Gothic"/>
          <w:color w:val="003366"/>
          <w:sz w:val="20"/>
          <w:szCs w:val="20"/>
        </w:rPr>
      </w:pPr>
      <w:r w:rsidRPr="00EE611E">
        <w:rPr>
          <w:rFonts w:ascii="Century Gothic" w:hAnsi="Century Gothic"/>
          <w:color w:val="003366"/>
          <w:sz w:val="20"/>
          <w:szCs w:val="20"/>
        </w:rPr>
        <w:t xml:space="preserve">Tel. </w:t>
      </w:r>
      <w:r w:rsidR="003C0076" w:rsidRPr="00EE611E">
        <w:rPr>
          <w:rFonts w:ascii="Century Gothic" w:hAnsi="Century Gothic"/>
          <w:color w:val="003366"/>
          <w:sz w:val="20"/>
          <w:szCs w:val="20"/>
        </w:rPr>
        <w:t>02-88291</w:t>
      </w:r>
    </w:p>
    <w:p w:rsidR="003C0076" w:rsidRPr="00EE611E" w:rsidRDefault="001D6137" w:rsidP="001953FC">
      <w:pPr>
        <w:rPr>
          <w:rFonts w:ascii="Century Gothic" w:hAnsi="Century Gothic"/>
          <w:color w:val="003366"/>
          <w:sz w:val="20"/>
          <w:szCs w:val="20"/>
        </w:rPr>
      </w:pPr>
      <w:proofErr w:type="spellStart"/>
      <w:r w:rsidRPr="00EE611E">
        <w:rPr>
          <w:rFonts w:ascii="Century Gothic" w:hAnsi="Century Gothic"/>
          <w:color w:val="003366"/>
          <w:sz w:val="20"/>
          <w:szCs w:val="20"/>
        </w:rPr>
        <w:t>Email</w:t>
      </w:r>
      <w:proofErr w:type="spellEnd"/>
      <w:r w:rsidRPr="00EE611E">
        <w:rPr>
          <w:rFonts w:ascii="Century Gothic" w:hAnsi="Century Gothic"/>
          <w:color w:val="003366"/>
          <w:sz w:val="20"/>
          <w:szCs w:val="20"/>
        </w:rPr>
        <w:t xml:space="preserve">: </w:t>
      </w:r>
      <w:hyperlink r:id="rId8" w:history="1">
        <w:r w:rsidR="001A6C87" w:rsidRPr="00EE611E">
          <w:rPr>
            <w:rStyle w:val="Collegamentoipertestuale"/>
            <w:rFonts w:ascii="Century Gothic" w:hAnsi="Century Gothic"/>
            <w:color w:val="003366"/>
            <w:sz w:val="20"/>
            <w:szCs w:val="20"/>
          </w:rPr>
          <w:t>media.relations@mediobanca.com</w:t>
        </w:r>
      </w:hyperlink>
    </w:p>
    <w:p w:rsidR="001A6C87" w:rsidRPr="00EE611E" w:rsidRDefault="001A6C87" w:rsidP="001953FC">
      <w:pPr>
        <w:rPr>
          <w:rFonts w:ascii="Century Gothic" w:hAnsi="Century Gothic"/>
          <w:color w:val="003366"/>
          <w:sz w:val="20"/>
          <w:szCs w:val="20"/>
        </w:rPr>
      </w:pPr>
    </w:p>
    <w:p w:rsidR="00734829" w:rsidRPr="00EE611E" w:rsidRDefault="00734829" w:rsidP="001953FC">
      <w:pPr>
        <w:rPr>
          <w:rFonts w:ascii="Century Gothic" w:hAnsi="Century Gothic"/>
          <w:color w:val="003366"/>
          <w:sz w:val="20"/>
          <w:szCs w:val="20"/>
        </w:rPr>
      </w:pPr>
    </w:p>
    <w:p w:rsidR="00734829" w:rsidRPr="00EE611E" w:rsidRDefault="00734829" w:rsidP="001953FC">
      <w:pPr>
        <w:rPr>
          <w:rFonts w:ascii="Century Gothic" w:hAnsi="Century Gothic"/>
          <w:color w:val="003366"/>
          <w:sz w:val="20"/>
          <w:szCs w:val="20"/>
        </w:rPr>
      </w:pPr>
    </w:p>
    <w:p w:rsidR="00734829" w:rsidRPr="00EE611E" w:rsidRDefault="00734829" w:rsidP="001953FC">
      <w:pPr>
        <w:rPr>
          <w:rFonts w:ascii="Century Gothic" w:hAnsi="Century Gothic"/>
          <w:color w:val="003366"/>
          <w:sz w:val="20"/>
          <w:szCs w:val="20"/>
        </w:rPr>
      </w:pPr>
    </w:p>
    <w:p w:rsidR="001A6C87" w:rsidRPr="00EE611E" w:rsidRDefault="001A6C87" w:rsidP="001953FC">
      <w:pPr>
        <w:rPr>
          <w:rFonts w:ascii="Century Gothic" w:hAnsi="Century Gothic"/>
          <w:color w:val="003366"/>
          <w:sz w:val="20"/>
          <w:szCs w:val="20"/>
        </w:rPr>
      </w:pPr>
    </w:p>
    <w:p w:rsidR="001A6C87" w:rsidRPr="00EE611E" w:rsidRDefault="001A6C87" w:rsidP="00AD0630">
      <w:pPr>
        <w:spacing w:after="0" w:line="240" w:lineRule="auto"/>
        <w:rPr>
          <w:rFonts w:ascii="Century Gothic" w:hAnsi="Century Gothic"/>
          <w:color w:val="003366"/>
          <w:sz w:val="20"/>
          <w:szCs w:val="20"/>
        </w:rPr>
      </w:pPr>
      <w:r w:rsidRPr="00EE611E">
        <w:rPr>
          <w:rFonts w:ascii="Century Gothic" w:hAnsi="Century Gothic"/>
          <w:b/>
          <w:color w:val="003366"/>
          <w:sz w:val="20"/>
          <w:szCs w:val="20"/>
        </w:rPr>
        <w:t>SPAFID</w:t>
      </w:r>
      <w:r w:rsidRPr="00EE611E">
        <w:rPr>
          <w:rFonts w:ascii="Century Gothic" w:hAnsi="Century Gothic"/>
          <w:color w:val="003366"/>
          <w:sz w:val="20"/>
          <w:szCs w:val="20"/>
        </w:rPr>
        <w:t xml:space="preserve"> è la piattaforma fiduciaria d’eccellenza del Gruppo Mediobanca dal 1948, nata per preservare e amministrare i patrimoni individuali e di nuclei familiari. Nel corso degli anni ha affiancato ai servizi di </w:t>
      </w:r>
      <w:proofErr w:type="spellStart"/>
      <w:r w:rsidRPr="00EE611E">
        <w:rPr>
          <w:rFonts w:ascii="Century Gothic" w:hAnsi="Century Gothic"/>
          <w:color w:val="003366"/>
          <w:sz w:val="20"/>
          <w:szCs w:val="20"/>
        </w:rPr>
        <w:t>Wealth</w:t>
      </w:r>
      <w:proofErr w:type="spellEnd"/>
      <w:r w:rsidRPr="00EE611E">
        <w:rPr>
          <w:rFonts w:ascii="Century Gothic" w:hAnsi="Century Gothic"/>
          <w:color w:val="003366"/>
          <w:sz w:val="20"/>
          <w:szCs w:val="20"/>
        </w:rPr>
        <w:t xml:space="preserve"> Management, servizi di Assistenza Corporate a favore di società quotate, </w:t>
      </w:r>
      <w:proofErr w:type="spellStart"/>
      <w:r w:rsidRPr="00EE611E">
        <w:rPr>
          <w:rFonts w:ascii="Century Gothic" w:hAnsi="Century Gothic"/>
          <w:color w:val="003366"/>
          <w:sz w:val="20"/>
          <w:szCs w:val="20"/>
        </w:rPr>
        <w:t>quotande</w:t>
      </w:r>
      <w:proofErr w:type="spellEnd"/>
      <w:r w:rsidRPr="00EE611E">
        <w:rPr>
          <w:rFonts w:ascii="Century Gothic" w:hAnsi="Century Gothic"/>
          <w:color w:val="003366"/>
          <w:sz w:val="20"/>
          <w:szCs w:val="20"/>
        </w:rPr>
        <w:t xml:space="preserve"> ed emittenti. SPAFID propone oggi un’inedita combinazione di </w:t>
      </w:r>
      <w:r w:rsidRPr="00EE611E">
        <w:rPr>
          <w:rFonts w:ascii="Century Gothic" w:hAnsi="Century Gothic"/>
          <w:bCs/>
          <w:color w:val="003366"/>
          <w:sz w:val="20"/>
          <w:szCs w:val="20"/>
        </w:rPr>
        <w:t xml:space="preserve">servizi di amministrazione fiduciaria e pianificazione patrimoniale di grandi patrimoni di famiglia abilitati da innovative soluzioni per il monitoraggio delle attività finanziarie e non (patrimonio online e consolidamento fiscale) e servizi Corporate (Tenuta fiduciaria del Libro Soci, gestione assembleare, assistenza agli adempimenti societari e regolamentari, supporto operativo alle Corporate </w:t>
      </w:r>
      <w:proofErr w:type="spellStart"/>
      <w:r w:rsidRPr="00EE611E">
        <w:rPr>
          <w:rFonts w:ascii="Century Gothic" w:hAnsi="Century Gothic"/>
          <w:bCs/>
          <w:color w:val="003366"/>
          <w:sz w:val="20"/>
          <w:szCs w:val="20"/>
        </w:rPr>
        <w:t>Actions</w:t>
      </w:r>
      <w:proofErr w:type="spellEnd"/>
      <w:r w:rsidRPr="00EE611E">
        <w:rPr>
          <w:rFonts w:ascii="Century Gothic" w:hAnsi="Century Gothic"/>
          <w:bCs/>
          <w:color w:val="003366"/>
          <w:sz w:val="20"/>
          <w:szCs w:val="20"/>
        </w:rPr>
        <w:t>).</w:t>
      </w:r>
    </w:p>
    <w:p w:rsidR="001A6C87" w:rsidRPr="00EE611E" w:rsidRDefault="001A6C87" w:rsidP="001953FC">
      <w:pPr>
        <w:rPr>
          <w:rFonts w:ascii="Century Gothic" w:hAnsi="Century Gothic"/>
          <w:color w:val="003366"/>
          <w:sz w:val="20"/>
          <w:szCs w:val="20"/>
        </w:rPr>
      </w:pPr>
    </w:p>
    <w:p w:rsidR="00AD0630" w:rsidRPr="00EE611E" w:rsidRDefault="00AD0630" w:rsidP="00AD0630">
      <w:pPr>
        <w:spacing w:line="240" w:lineRule="auto"/>
        <w:rPr>
          <w:rFonts w:ascii="Century Gothic" w:hAnsi="Century Gothic"/>
          <w:bCs/>
          <w:i/>
          <w:color w:val="003366"/>
          <w:sz w:val="20"/>
          <w:szCs w:val="20"/>
        </w:rPr>
      </w:pPr>
      <w:r w:rsidRPr="00EE611E">
        <w:rPr>
          <w:rFonts w:ascii="Century Gothic" w:hAnsi="Century Gothic"/>
          <w:b/>
          <w:bCs/>
          <w:color w:val="003366"/>
          <w:sz w:val="20"/>
          <w:szCs w:val="20"/>
        </w:rPr>
        <w:t>CAD IT</w:t>
      </w:r>
      <w:r w:rsidRPr="00EE611E">
        <w:rPr>
          <w:rFonts w:ascii="Century Gothic" w:hAnsi="Century Gothic"/>
          <w:bCs/>
          <w:i/>
          <w:color w:val="003366"/>
          <w:sz w:val="20"/>
          <w:szCs w:val="20"/>
        </w:rPr>
        <w:t xml:space="preserve"> </w:t>
      </w:r>
      <w:r w:rsidRPr="00EE611E">
        <w:rPr>
          <w:rFonts w:ascii="Century Gothic" w:hAnsi="Century Gothic"/>
          <w:bCs/>
          <w:color w:val="003366"/>
          <w:sz w:val="20"/>
          <w:szCs w:val="20"/>
        </w:rPr>
        <w:t xml:space="preserve">fornisce software e servizi ad aziende di elevato standing in Europa. I clienti di CAD IT includono banche, assicurazioni, fondi, </w:t>
      </w:r>
      <w:proofErr w:type="spellStart"/>
      <w:r w:rsidRPr="00EE611E">
        <w:rPr>
          <w:rFonts w:ascii="Century Gothic" w:hAnsi="Century Gothic"/>
          <w:bCs/>
          <w:color w:val="003366"/>
          <w:sz w:val="20"/>
          <w:szCs w:val="20"/>
        </w:rPr>
        <w:t>brokers</w:t>
      </w:r>
      <w:proofErr w:type="spellEnd"/>
      <w:r w:rsidRPr="00EE611E">
        <w:rPr>
          <w:rFonts w:ascii="Century Gothic" w:hAnsi="Century Gothic"/>
          <w:bCs/>
          <w:color w:val="003366"/>
          <w:sz w:val="20"/>
          <w:szCs w:val="20"/>
        </w:rPr>
        <w:t xml:space="preserve">, fornitori di servizi in outsourcing, enti pubblici e </w:t>
      </w:r>
      <w:proofErr w:type="spellStart"/>
      <w:r w:rsidRPr="00EE611E">
        <w:rPr>
          <w:rFonts w:ascii="Century Gothic" w:hAnsi="Century Gothic"/>
          <w:bCs/>
          <w:color w:val="003366"/>
          <w:sz w:val="20"/>
          <w:szCs w:val="20"/>
        </w:rPr>
        <w:t>imprese.Ogni</w:t>
      </w:r>
      <w:proofErr w:type="spellEnd"/>
      <w:r w:rsidRPr="00EE611E">
        <w:rPr>
          <w:rFonts w:ascii="Century Gothic" w:hAnsi="Century Gothic"/>
          <w:bCs/>
          <w:color w:val="003366"/>
          <w:sz w:val="20"/>
          <w:szCs w:val="20"/>
        </w:rPr>
        <w:t xml:space="preserve"> giorno, le soluzioni sviluppate da CAD IT, supportano oltre 1.000 organizzazioni in Europa, grazie al know-how di oltre 600 professionisti altamente specializzati e con il dominio di tecnologie </w:t>
      </w:r>
      <w:proofErr w:type="spellStart"/>
      <w:r w:rsidRPr="00EE611E">
        <w:rPr>
          <w:rFonts w:ascii="Century Gothic" w:hAnsi="Century Gothic"/>
          <w:bCs/>
          <w:color w:val="003366"/>
          <w:sz w:val="20"/>
          <w:szCs w:val="20"/>
        </w:rPr>
        <w:t>innovative.Con</w:t>
      </w:r>
      <w:proofErr w:type="spellEnd"/>
      <w:r w:rsidRPr="00EE611E">
        <w:rPr>
          <w:rFonts w:ascii="Century Gothic" w:hAnsi="Century Gothic"/>
          <w:bCs/>
          <w:color w:val="003366"/>
          <w:sz w:val="20"/>
          <w:szCs w:val="20"/>
        </w:rPr>
        <w:t xml:space="preserve"> oltre 200.000 utenti appartenenti ad istituzioni finanziarie di elevato standing, Area Finanza di CAD IT rappresenta il sistema più utilizzato in Europa per la gestione dei processi di trading e post trading di strumenti finanziari. “Area Finanza” è una soluzione completa </w:t>
      </w:r>
      <w:proofErr w:type="spellStart"/>
      <w:r w:rsidRPr="00EE611E">
        <w:rPr>
          <w:rFonts w:ascii="Century Gothic" w:hAnsi="Century Gothic"/>
          <w:bCs/>
          <w:color w:val="003366"/>
          <w:sz w:val="20"/>
          <w:szCs w:val="20"/>
        </w:rPr>
        <w:t>front-to-back</w:t>
      </w:r>
      <w:proofErr w:type="spellEnd"/>
      <w:r w:rsidRPr="00EE611E">
        <w:rPr>
          <w:rFonts w:ascii="Century Gothic" w:hAnsi="Century Gothic"/>
          <w:bCs/>
          <w:color w:val="003366"/>
          <w:sz w:val="20"/>
          <w:szCs w:val="20"/>
        </w:rPr>
        <w:t xml:space="preserve">, cross-business, </w:t>
      </w:r>
      <w:proofErr w:type="spellStart"/>
      <w:r w:rsidRPr="00EE611E">
        <w:rPr>
          <w:rFonts w:ascii="Century Gothic" w:hAnsi="Century Gothic"/>
          <w:bCs/>
          <w:color w:val="003366"/>
          <w:sz w:val="20"/>
          <w:szCs w:val="20"/>
        </w:rPr>
        <w:t>cross-asset</w:t>
      </w:r>
      <w:proofErr w:type="spellEnd"/>
      <w:r w:rsidRPr="00EE611E">
        <w:rPr>
          <w:rFonts w:ascii="Century Gothic" w:hAnsi="Century Gothic"/>
          <w:bCs/>
          <w:color w:val="003366"/>
          <w:sz w:val="20"/>
          <w:szCs w:val="20"/>
        </w:rPr>
        <w:t xml:space="preserve">, multi-canale, </w:t>
      </w:r>
      <w:proofErr w:type="spellStart"/>
      <w:r w:rsidRPr="00EE611E">
        <w:rPr>
          <w:rFonts w:ascii="Century Gothic" w:hAnsi="Century Gothic"/>
          <w:bCs/>
          <w:color w:val="003366"/>
          <w:sz w:val="20"/>
          <w:szCs w:val="20"/>
        </w:rPr>
        <w:t>multi-browser</w:t>
      </w:r>
      <w:proofErr w:type="spellEnd"/>
      <w:r w:rsidRPr="00EE611E">
        <w:rPr>
          <w:rFonts w:ascii="Century Gothic" w:hAnsi="Century Gothic"/>
          <w:bCs/>
          <w:color w:val="003366"/>
          <w:sz w:val="20"/>
          <w:szCs w:val="20"/>
        </w:rPr>
        <w:t xml:space="preserve">, multi-lingua, </w:t>
      </w:r>
      <w:proofErr w:type="spellStart"/>
      <w:r w:rsidRPr="00EE611E">
        <w:rPr>
          <w:rFonts w:ascii="Century Gothic" w:hAnsi="Century Gothic"/>
          <w:bCs/>
          <w:color w:val="003366"/>
          <w:sz w:val="20"/>
          <w:szCs w:val="20"/>
        </w:rPr>
        <w:t>multi-valuta</w:t>
      </w:r>
      <w:proofErr w:type="spellEnd"/>
      <w:r w:rsidRPr="00EE611E">
        <w:rPr>
          <w:rFonts w:ascii="Century Gothic" w:hAnsi="Century Gothic"/>
          <w:bCs/>
          <w:color w:val="003366"/>
          <w:sz w:val="20"/>
          <w:szCs w:val="20"/>
        </w:rPr>
        <w:t xml:space="preserve"> e </w:t>
      </w:r>
      <w:proofErr w:type="spellStart"/>
      <w:r w:rsidRPr="00EE611E">
        <w:rPr>
          <w:rFonts w:ascii="Century Gothic" w:hAnsi="Century Gothic"/>
          <w:bCs/>
          <w:color w:val="003366"/>
          <w:sz w:val="20"/>
          <w:szCs w:val="20"/>
        </w:rPr>
        <w:t>multi-istituto</w:t>
      </w:r>
      <w:proofErr w:type="spellEnd"/>
      <w:r w:rsidRPr="00EE611E">
        <w:rPr>
          <w:rFonts w:ascii="Century Gothic" w:hAnsi="Century Gothic"/>
          <w:bCs/>
          <w:color w:val="003366"/>
          <w:sz w:val="20"/>
          <w:szCs w:val="20"/>
        </w:rPr>
        <w:t>.CAD IT è inoltre leader di mercato in Italia nel settore del software per la riscossione dei tributi per la Pubblica Amministrazione e rappresenta un punto di riferimento per le aziende del “</w:t>
      </w:r>
      <w:proofErr w:type="spellStart"/>
      <w:r w:rsidRPr="00EE611E">
        <w:rPr>
          <w:rFonts w:ascii="Century Gothic" w:hAnsi="Century Gothic"/>
          <w:bCs/>
          <w:color w:val="003366"/>
          <w:sz w:val="20"/>
          <w:szCs w:val="20"/>
        </w:rPr>
        <w:t>made</w:t>
      </w:r>
      <w:proofErr w:type="spellEnd"/>
      <w:r w:rsidRPr="00EE611E">
        <w:rPr>
          <w:rFonts w:ascii="Century Gothic" w:hAnsi="Century Gothic"/>
          <w:bCs/>
          <w:color w:val="003366"/>
          <w:sz w:val="20"/>
          <w:szCs w:val="20"/>
        </w:rPr>
        <w:t xml:space="preserve"> in Italy” come fornitore di strumenti software e servizi ad alto valore aggiunto.</w:t>
      </w:r>
    </w:p>
    <w:p w:rsidR="00AD0630" w:rsidRDefault="00AD0630" w:rsidP="001953FC">
      <w:pPr>
        <w:rPr>
          <w:rFonts w:ascii="Century Gothic" w:hAnsi="Century Gothic"/>
          <w:color w:val="003366"/>
          <w:sz w:val="20"/>
          <w:szCs w:val="20"/>
        </w:rPr>
      </w:pPr>
    </w:p>
    <w:p w:rsidR="00AD0630" w:rsidRPr="001953FC" w:rsidRDefault="00AD0630" w:rsidP="001953FC">
      <w:pPr>
        <w:rPr>
          <w:rFonts w:ascii="Century Gothic" w:hAnsi="Century Gothic"/>
          <w:color w:val="003366"/>
          <w:sz w:val="20"/>
          <w:szCs w:val="20"/>
        </w:rPr>
      </w:pPr>
    </w:p>
    <w:sectPr w:rsidR="00AD0630" w:rsidRPr="001953FC" w:rsidSect="00F70B75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0630" w:rsidRDefault="00AD0630" w:rsidP="00E625A5">
      <w:pPr>
        <w:spacing w:after="0" w:line="240" w:lineRule="auto"/>
      </w:pPr>
      <w:r>
        <w:separator/>
      </w:r>
    </w:p>
  </w:endnote>
  <w:endnote w:type="continuationSeparator" w:id="0">
    <w:p w:rsidR="00AD0630" w:rsidRDefault="00AD0630" w:rsidP="00E625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0630" w:rsidRDefault="00AD0630" w:rsidP="00E625A5">
      <w:pPr>
        <w:spacing w:after="0" w:line="240" w:lineRule="auto"/>
      </w:pPr>
      <w:r>
        <w:separator/>
      </w:r>
    </w:p>
  </w:footnote>
  <w:footnote w:type="continuationSeparator" w:id="0">
    <w:p w:rsidR="00AD0630" w:rsidRDefault="00AD0630" w:rsidP="00E625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259"/>
      <w:gridCol w:w="3259"/>
      <w:gridCol w:w="3260"/>
    </w:tblGrid>
    <w:tr w:rsidR="00AD0630" w:rsidTr="00E625A5">
      <w:tc>
        <w:tcPr>
          <w:tcW w:w="3259" w:type="dxa"/>
        </w:tcPr>
        <w:p w:rsidR="00AD0630" w:rsidRDefault="00AD0630">
          <w:pPr>
            <w:pStyle w:val="Intestazione"/>
          </w:pPr>
          <w:r>
            <w:rPr>
              <w:noProof/>
              <w:lang w:eastAsia="it-IT"/>
            </w:rPr>
            <w:drawing>
              <wp:inline distT="0" distB="0" distL="0" distR="0">
                <wp:extent cx="914400" cy="472513"/>
                <wp:effectExtent l="0" t="0" r="0" b="0"/>
                <wp:docPr id="1" name="Immagine 0" descr="logo_blu_pay off_SPAFID 2014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blu_pay off_SPAFID 2014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0222" cy="47552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59" w:type="dxa"/>
        </w:tcPr>
        <w:p w:rsidR="00AD0630" w:rsidRDefault="00AD0630" w:rsidP="009D5EB1">
          <w:pPr>
            <w:pStyle w:val="Intestazione"/>
            <w:jc w:val="right"/>
          </w:pPr>
        </w:p>
      </w:tc>
      <w:tc>
        <w:tcPr>
          <w:tcW w:w="3260" w:type="dxa"/>
        </w:tcPr>
        <w:p w:rsidR="00AD0630" w:rsidRDefault="00AD0630" w:rsidP="00E625A5">
          <w:pPr>
            <w:pStyle w:val="Intestazione"/>
            <w:jc w:val="right"/>
          </w:pPr>
          <w:r w:rsidRPr="00E625A5">
            <w:rPr>
              <w:noProof/>
              <w:lang w:eastAsia="it-IT"/>
            </w:rPr>
            <w:drawing>
              <wp:inline distT="0" distB="0" distL="0" distR="0">
                <wp:extent cx="896526" cy="468000"/>
                <wp:effectExtent l="19050" t="0" r="0" b="0"/>
                <wp:docPr id="2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6526" cy="468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D0630" w:rsidRDefault="00AD0630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4" type="#_x0000_t75" style="width:45pt;height:45pt" o:bullet="t">
        <v:imagedata r:id="rId1" o:title="clip_image001"/>
      </v:shape>
    </w:pict>
  </w:numPicBullet>
  <w:abstractNum w:abstractNumId="0">
    <w:nsid w:val="0C7F1072"/>
    <w:multiLevelType w:val="hybridMultilevel"/>
    <w:tmpl w:val="3AEA9B2A"/>
    <w:lvl w:ilvl="0" w:tplc="3CE210A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7B8653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E0E142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06CF2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9CA34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F8A41D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5561A8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0A1B4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214579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B67F7D"/>
    <w:multiLevelType w:val="hybridMultilevel"/>
    <w:tmpl w:val="55E802FA"/>
    <w:lvl w:ilvl="0" w:tplc="8C4849D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84406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FD08C2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96CA95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42E1A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2AEDE0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E6628E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5F4817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B6083F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8470354"/>
    <w:multiLevelType w:val="hybridMultilevel"/>
    <w:tmpl w:val="C7D492AE"/>
    <w:lvl w:ilvl="0" w:tplc="9BFC7D7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B0203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FA6E51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ED06FD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1406EE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48C859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02EE0E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580726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AC8B38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D91699D"/>
    <w:multiLevelType w:val="hybridMultilevel"/>
    <w:tmpl w:val="DDE42F9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A67DC5"/>
    <w:rsid w:val="00043C19"/>
    <w:rsid w:val="00047EE3"/>
    <w:rsid w:val="00052315"/>
    <w:rsid w:val="000A2C62"/>
    <w:rsid w:val="001617F5"/>
    <w:rsid w:val="00192218"/>
    <w:rsid w:val="001953FC"/>
    <w:rsid w:val="001A6C87"/>
    <w:rsid w:val="001C6E19"/>
    <w:rsid w:val="001D6137"/>
    <w:rsid w:val="001E11C9"/>
    <w:rsid w:val="002113A6"/>
    <w:rsid w:val="0022060F"/>
    <w:rsid w:val="002C5599"/>
    <w:rsid w:val="002E2F78"/>
    <w:rsid w:val="00342EDE"/>
    <w:rsid w:val="0036723F"/>
    <w:rsid w:val="003A57C0"/>
    <w:rsid w:val="003C0076"/>
    <w:rsid w:val="003E67DE"/>
    <w:rsid w:val="003F1162"/>
    <w:rsid w:val="0044612E"/>
    <w:rsid w:val="00447B45"/>
    <w:rsid w:val="0045237D"/>
    <w:rsid w:val="004B3E94"/>
    <w:rsid w:val="005534A2"/>
    <w:rsid w:val="00560339"/>
    <w:rsid w:val="00606740"/>
    <w:rsid w:val="00614C90"/>
    <w:rsid w:val="00663D17"/>
    <w:rsid w:val="00675FE9"/>
    <w:rsid w:val="006F1215"/>
    <w:rsid w:val="00734829"/>
    <w:rsid w:val="00771275"/>
    <w:rsid w:val="007924E8"/>
    <w:rsid w:val="007E767E"/>
    <w:rsid w:val="00812800"/>
    <w:rsid w:val="008416E9"/>
    <w:rsid w:val="00860B35"/>
    <w:rsid w:val="008A21FB"/>
    <w:rsid w:val="008F5590"/>
    <w:rsid w:val="0090326B"/>
    <w:rsid w:val="00945459"/>
    <w:rsid w:val="0096566E"/>
    <w:rsid w:val="0097444C"/>
    <w:rsid w:val="0097675F"/>
    <w:rsid w:val="009A104D"/>
    <w:rsid w:val="009A5426"/>
    <w:rsid w:val="009D5EB1"/>
    <w:rsid w:val="00A004D9"/>
    <w:rsid w:val="00A52693"/>
    <w:rsid w:val="00A67DC5"/>
    <w:rsid w:val="00A75859"/>
    <w:rsid w:val="00A92F41"/>
    <w:rsid w:val="00AD0630"/>
    <w:rsid w:val="00B10D64"/>
    <w:rsid w:val="00B44E54"/>
    <w:rsid w:val="00B65C7D"/>
    <w:rsid w:val="00BA58CC"/>
    <w:rsid w:val="00C42597"/>
    <w:rsid w:val="00C902A2"/>
    <w:rsid w:val="00CA4BD6"/>
    <w:rsid w:val="00CC094A"/>
    <w:rsid w:val="00D55ACF"/>
    <w:rsid w:val="00DA2230"/>
    <w:rsid w:val="00DD602D"/>
    <w:rsid w:val="00E33FBA"/>
    <w:rsid w:val="00E625A5"/>
    <w:rsid w:val="00E653C5"/>
    <w:rsid w:val="00E92F8D"/>
    <w:rsid w:val="00EE611E"/>
    <w:rsid w:val="00F37F90"/>
    <w:rsid w:val="00F46F83"/>
    <w:rsid w:val="00F70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70B7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454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45459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E625A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625A5"/>
  </w:style>
  <w:style w:type="paragraph" w:styleId="Pidipagina">
    <w:name w:val="footer"/>
    <w:basedOn w:val="Normale"/>
    <w:link w:val="PidipaginaCarattere"/>
    <w:uiPriority w:val="99"/>
    <w:semiHidden/>
    <w:unhideWhenUsed/>
    <w:rsid w:val="00E625A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E625A5"/>
  </w:style>
  <w:style w:type="table" w:styleId="Grigliatabella">
    <w:name w:val="Table Grid"/>
    <w:basedOn w:val="Tabellanormale"/>
    <w:uiPriority w:val="59"/>
    <w:rsid w:val="00E625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1A6C87"/>
    <w:rPr>
      <w:color w:val="0000FF" w:themeColor="hyperlink"/>
      <w:u w:val="single"/>
    </w:rPr>
  </w:style>
  <w:style w:type="paragraph" w:customStyle="1" w:styleId="Corpodeltesto23">
    <w:name w:val="Corpo del testo 23"/>
    <w:basedOn w:val="Normale"/>
    <w:rsid w:val="00AD0630"/>
    <w:pPr>
      <w:spacing w:after="0" w:line="240" w:lineRule="auto"/>
      <w:jc w:val="both"/>
    </w:pPr>
    <w:rPr>
      <w:rFonts w:ascii="Times" w:eastAsia="Times New Roman" w:hAnsi="Times" w:cs="Times New Roman"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448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dia.relations@mediobanca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E17F30-C9CF-4B4D-8C01-47BC4C2FF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757</Words>
  <Characters>4319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Stefano Pellegrino</dc:creator>
  <cp:lastModifiedBy>TASSONE STEFANO</cp:lastModifiedBy>
  <cp:revision>11</cp:revision>
  <cp:lastPrinted>2015-06-19T07:31:00Z</cp:lastPrinted>
  <dcterms:created xsi:type="dcterms:W3CDTF">2016-02-08T18:12:00Z</dcterms:created>
  <dcterms:modified xsi:type="dcterms:W3CDTF">2016-02-09T10:52:00Z</dcterms:modified>
</cp:coreProperties>
</file>